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1B" w:rsidRPr="00667900" w:rsidRDefault="00C0071B" w:rsidP="00C0071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General Education Committee Meeting Minutes </w:t>
      </w:r>
    </w:p>
    <w:p w:rsidR="00C0071B" w:rsidRPr="00667900" w:rsidRDefault="00CA4759" w:rsidP="00C0071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November 18</w:t>
      </w:r>
      <w:r w:rsidR="00C0071B">
        <w:rPr>
          <w:rFonts w:asciiTheme="minorHAnsi" w:hAnsiTheme="minorHAnsi" w:cs="Arial"/>
          <w:sz w:val="28"/>
          <w:szCs w:val="28"/>
        </w:rPr>
        <w:t>, 2021</w:t>
      </w:r>
    </w:p>
    <w:p w:rsidR="00C0071B" w:rsidRPr="00DB1F95" w:rsidRDefault="00C0071B" w:rsidP="00C0071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071B" w:rsidRPr="005A4372" w:rsidRDefault="00C0071B" w:rsidP="00C0071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</w:t>
      </w:r>
      <w:r w:rsidRPr="002419CB">
        <w:rPr>
          <w:rFonts w:ascii="Calibri" w:hAnsi="Calibri" w:cs="Arial"/>
          <w:sz w:val="22"/>
          <w:szCs w:val="22"/>
          <w:u w:val="single"/>
        </w:rPr>
        <w:t xml:space="preserve">embers </w:t>
      </w:r>
      <w:r w:rsidRPr="00C93DBA">
        <w:rPr>
          <w:rFonts w:ascii="Calibri" w:hAnsi="Calibri" w:cs="Arial"/>
          <w:sz w:val="22"/>
          <w:szCs w:val="22"/>
          <w:u w:val="single"/>
        </w:rPr>
        <w:t>Present</w:t>
      </w:r>
      <w:r w:rsidRPr="00C93DB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Na</w:t>
      </w:r>
      <w:r w:rsidR="00356F1C">
        <w:rPr>
          <w:rFonts w:ascii="Calibri" w:hAnsi="Calibri" w:cs="Arial"/>
          <w:sz w:val="22"/>
          <w:szCs w:val="22"/>
        </w:rPr>
        <w:t>ncy Diller,</w:t>
      </w:r>
      <w:r>
        <w:rPr>
          <w:rFonts w:ascii="Calibri" w:hAnsi="Calibri" w:cs="Arial"/>
          <w:sz w:val="22"/>
          <w:szCs w:val="22"/>
        </w:rPr>
        <w:t xml:space="preserve"> Lauren Delaubell, Daniel Radus, Douglas Armstead, Garrett Otto,</w:t>
      </w:r>
      <w:r w:rsidR="00DA52B7">
        <w:rPr>
          <w:rFonts w:ascii="Calibri" w:hAnsi="Calibri" w:cs="Arial"/>
          <w:sz w:val="22"/>
          <w:szCs w:val="22"/>
        </w:rPr>
        <w:t xml:space="preserve"> Gregory Ketcham, </w:t>
      </w:r>
      <w:r w:rsidR="00356F1C">
        <w:rPr>
          <w:rFonts w:ascii="Calibri" w:hAnsi="Calibri" w:cs="Arial"/>
          <w:sz w:val="22"/>
          <w:szCs w:val="22"/>
        </w:rPr>
        <w:t xml:space="preserve">Bruce Mattingly, Justin </w:t>
      </w:r>
      <w:proofErr w:type="spellStart"/>
      <w:r w:rsidR="00356F1C">
        <w:rPr>
          <w:rFonts w:ascii="Calibri" w:hAnsi="Calibri" w:cs="Arial"/>
          <w:sz w:val="22"/>
          <w:szCs w:val="22"/>
        </w:rPr>
        <w:t>Bucciferro</w:t>
      </w:r>
      <w:proofErr w:type="spellEnd"/>
      <w:r w:rsidR="00356F1C">
        <w:rPr>
          <w:rFonts w:ascii="Calibri" w:hAnsi="Calibri" w:cs="Arial"/>
          <w:sz w:val="22"/>
          <w:szCs w:val="22"/>
        </w:rPr>
        <w:t xml:space="preserve">, </w:t>
      </w:r>
      <w:r w:rsidR="00CA4759">
        <w:rPr>
          <w:rFonts w:ascii="Calibri" w:hAnsi="Calibri" w:cs="Arial"/>
          <w:sz w:val="22"/>
          <w:szCs w:val="22"/>
        </w:rPr>
        <w:t>Ryan Davis</w:t>
      </w:r>
      <w:r>
        <w:rPr>
          <w:rFonts w:ascii="Calibri" w:hAnsi="Calibri" w:cs="Arial"/>
          <w:sz w:val="22"/>
          <w:szCs w:val="22"/>
        </w:rPr>
        <w:t>, Stephen Cunningham</w:t>
      </w:r>
      <w:r w:rsidR="00E55F0C">
        <w:rPr>
          <w:rFonts w:ascii="Calibri" w:hAnsi="Calibri" w:cs="Arial"/>
          <w:sz w:val="22"/>
          <w:szCs w:val="22"/>
        </w:rPr>
        <w:t>, Jenn McNamara</w:t>
      </w:r>
    </w:p>
    <w:p w:rsidR="00C0071B" w:rsidRPr="00477286" w:rsidRDefault="00C0071B" w:rsidP="00C0071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C0071B" w:rsidRPr="004C0F00" w:rsidRDefault="004C0F00" w:rsidP="00C0071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>
        <w:rPr>
          <w:rFonts w:ascii="Calibri" w:hAnsi="Calibri" w:cs="Arial"/>
          <w:sz w:val="22"/>
          <w:szCs w:val="22"/>
        </w:rPr>
        <w:t>: Eunyoung Jung, Carol Van Der Karr</w:t>
      </w:r>
    </w:p>
    <w:p w:rsidR="00C0071B" w:rsidRPr="00C93DBA" w:rsidRDefault="00C0071B" w:rsidP="00C0071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369"/>
        <w:gridCol w:w="6968"/>
        <w:gridCol w:w="3727"/>
      </w:tblGrid>
      <w:tr w:rsidR="00C0071B" w:rsidRPr="00783B86" w:rsidTr="00570E8B">
        <w:trPr>
          <w:trHeight w:val="430"/>
        </w:trPr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B7B7B" w:themeFill="accent3" w:themeFillShade="BF"/>
          </w:tcPr>
          <w:p w:rsidR="00C0071B" w:rsidRPr="00AD335B" w:rsidRDefault="00C0071B" w:rsidP="00570E8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B7B7B" w:themeFill="accent3" w:themeFillShade="BF"/>
          </w:tcPr>
          <w:p w:rsidR="00C0071B" w:rsidRPr="00AD335B" w:rsidRDefault="00C0071B" w:rsidP="00570E8B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37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B7B7B" w:themeFill="accent3" w:themeFillShade="BF"/>
          </w:tcPr>
          <w:p w:rsidR="00C0071B" w:rsidRPr="00AD335B" w:rsidRDefault="00C0071B" w:rsidP="00570E8B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C0071B" w:rsidRPr="00506C33" w:rsidTr="00570E8B">
        <w:trPr>
          <w:trHeight w:val="432"/>
        </w:trPr>
        <w:tc>
          <w:tcPr>
            <w:tcW w:w="3369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DEDED" w:themeFill="accent3" w:themeFillTint="33"/>
          </w:tcPr>
          <w:p w:rsidR="00C0071B" w:rsidRPr="005A5FEF" w:rsidRDefault="00C0071B" w:rsidP="00570E8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Approval of Minutes</w:t>
            </w:r>
          </w:p>
        </w:tc>
        <w:tc>
          <w:tcPr>
            <w:tcW w:w="696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DEDED" w:themeFill="accent3" w:themeFillTint="33"/>
          </w:tcPr>
          <w:p w:rsidR="00C0071B" w:rsidRPr="005A5FEF" w:rsidRDefault="00D45AE6" w:rsidP="00570E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of Minutes</w:t>
            </w:r>
            <w:r w:rsidR="007517E6">
              <w:rPr>
                <w:rFonts w:asciiTheme="minorHAnsi" w:hAnsiTheme="minorHAnsi"/>
                <w:sz w:val="22"/>
                <w:szCs w:val="22"/>
              </w:rPr>
              <w:t xml:space="preserve"> from November 4, 2021</w:t>
            </w:r>
          </w:p>
        </w:tc>
        <w:tc>
          <w:tcPr>
            <w:tcW w:w="3727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DEDED" w:themeFill="accent3" w:themeFillTint="33"/>
          </w:tcPr>
          <w:p w:rsidR="00C0071B" w:rsidRPr="005A5FEF" w:rsidRDefault="00C0071B" w:rsidP="00570E8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Approved</w:t>
            </w:r>
          </w:p>
        </w:tc>
      </w:tr>
      <w:tr w:rsidR="00C0071B" w:rsidRPr="00506C33" w:rsidTr="00570E8B">
        <w:trPr>
          <w:trHeight w:val="378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DEDED" w:themeFill="accent3" w:themeFillTint="33"/>
          </w:tcPr>
          <w:p w:rsidR="00C0071B" w:rsidRPr="005A5FEF" w:rsidRDefault="00C0071B" w:rsidP="00570E8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 xml:space="preserve">Review of </w:t>
            </w:r>
            <w:r w:rsidRPr="005A5FEF"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 xml:space="preserve">GE proposals in </w:t>
            </w:r>
            <w:proofErr w:type="spellStart"/>
            <w:r w:rsidRPr="005A5FEF"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>Curriculog</w:t>
            </w:r>
            <w:proofErr w:type="spellEnd"/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DEDED" w:themeFill="accent3" w:themeFillTint="33"/>
          </w:tcPr>
          <w:p w:rsidR="00C0071B" w:rsidRDefault="0084095F" w:rsidP="0084095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AAS 392/PHI 392/POL 392 Bla</w:t>
            </w:r>
            <w:r w:rsidR="009A18F6">
              <w:rPr>
                <w:rFonts w:asciiTheme="minorHAnsi" w:hAnsiTheme="minorHAnsi"/>
                <w:sz w:val="22"/>
                <w:szCs w:val="22"/>
              </w:rPr>
              <w:t>ck Political Thought proposed as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GE4.  Review started with AAS 392.  Both SLOS and WI included</w:t>
            </w:r>
            <w:r w:rsidR="009A18F6">
              <w:rPr>
                <w:rFonts w:asciiTheme="minorHAnsi" w:hAnsiTheme="minorHAnsi"/>
                <w:sz w:val="22"/>
                <w:szCs w:val="22"/>
              </w:rPr>
              <w:t xml:space="preserve"> in the proposal</w:t>
            </w:r>
            <w:r>
              <w:rPr>
                <w:rFonts w:asciiTheme="minorHAnsi" w:hAnsiTheme="minorHAnsi"/>
                <w:sz w:val="22"/>
                <w:szCs w:val="22"/>
              </w:rPr>
              <w:t>.  Some concern voice</w:t>
            </w:r>
            <w:r w:rsidR="009A18F6">
              <w:rPr>
                <w:rFonts w:asciiTheme="minorHAnsi" w:hAnsiTheme="minorHAnsi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about SL3, but there is a clear supportive statement on the syllabus </w:t>
            </w:r>
            <w:r w:rsidR="00EB6D8C">
              <w:rPr>
                <w:rFonts w:asciiTheme="minorHAnsi" w:hAnsiTheme="minorHAnsi"/>
                <w:sz w:val="22"/>
                <w:szCs w:val="22"/>
              </w:rPr>
              <w:t xml:space="preserve">and the course meets the outcomes for GE4.  </w:t>
            </w:r>
            <w:proofErr w:type="gramStart"/>
            <w:r w:rsidR="00822649">
              <w:rPr>
                <w:rFonts w:asciiTheme="minorHAnsi" w:hAnsiTheme="minorHAnsi"/>
                <w:sz w:val="22"/>
                <w:szCs w:val="22"/>
              </w:rPr>
              <w:t>Cross-listing</w:t>
            </w:r>
            <w:proofErr w:type="gramEnd"/>
            <w:r w:rsidR="00822649">
              <w:rPr>
                <w:rFonts w:asciiTheme="minorHAnsi" w:hAnsiTheme="minorHAnsi"/>
                <w:sz w:val="22"/>
                <w:szCs w:val="22"/>
              </w:rPr>
              <w:t xml:space="preserve"> approved.</w:t>
            </w:r>
            <w:r w:rsidR="00EB6D8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22649" w:rsidRDefault="00822649" w:rsidP="0084095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ATH 120 Backgrounds in Art.  Course deactivation (not taught in over a decade), removal of GE8 requested.  Deactivations must go to SUNY for approval. </w:t>
            </w:r>
          </w:p>
          <w:p w:rsidR="00EB6D8C" w:rsidRPr="0084095F" w:rsidRDefault="00822649" w:rsidP="0084095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THT 162 Theatre History II.  Course deactivation, removal of GE8 requested.  Question arose </w:t>
            </w:r>
            <w:r w:rsidR="009A18F6">
              <w:rPr>
                <w:rFonts w:asciiTheme="minorHAnsi" w:hAnsiTheme="minorHAnsi"/>
                <w:sz w:val="22"/>
                <w:szCs w:val="22"/>
              </w:rPr>
              <w:t xml:space="preserve">as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why it is important </w:t>
            </w:r>
            <w:r w:rsidR="00614F05">
              <w:rPr>
                <w:rFonts w:asciiTheme="minorHAnsi" w:hAnsiTheme="minorHAnsi"/>
                <w:sz w:val="22"/>
                <w:szCs w:val="22"/>
              </w:rPr>
              <w:t xml:space="preserve">to delete GEs.  Most of the time the course is no longer offered, so it is a matter of cleaning up.  </w:t>
            </w:r>
          </w:p>
          <w:p w:rsidR="00C0071B" w:rsidRPr="005A5FEF" w:rsidRDefault="00C0071B" w:rsidP="00570E8B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DEDED" w:themeFill="accent3" w:themeFillTint="33"/>
          </w:tcPr>
          <w:p w:rsidR="00C0071B" w:rsidRDefault="00EB6D8C" w:rsidP="00EB6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AAS 392/PHI 392/POL 392 approved as GE4. </w:t>
            </w:r>
          </w:p>
          <w:p w:rsidR="00822649" w:rsidRDefault="00822649" w:rsidP="00822649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22649" w:rsidRDefault="00822649" w:rsidP="00822649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22649" w:rsidRDefault="00822649" w:rsidP="008226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22649" w:rsidRDefault="00822649" w:rsidP="0082264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822649">
              <w:rPr>
                <w:rFonts w:asciiTheme="minorHAnsi" w:hAnsiTheme="minorHAnsi"/>
                <w:b/>
                <w:sz w:val="22"/>
                <w:szCs w:val="22"/>
              </w:rPr>
              <w:t>Deletion of ATH 120 as GE8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approved.</w:t>
            </w:r>
          </w:p>
          <w:p w:rsidR="00D57B6D" w:rsidRDefault="00D57B6D" w:rsidP="00D57B6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57B6D" w:rsidRPr="00D57B6D" w:rsidRDefault="00D57B6D" w:rsidP="00D57B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Deletion of THT 162 as GE8 approved.  </w:t>
            </w:r>
          </w:p>
        </w:tc>
      </w:tr>
      <w:tr w:rsidR="00C0071B" w:rsidRPr="00506C33" w:rsidTr="00570E8B">
        <w:trPr>
          <w:trHeight w:val="390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DEDED" w:themeFill="accent3" w:themeFillTint="33"/>
          </w:tcPr>
          <w:p w:rsidR="00C0071B" w:rsidRDefault="005A3459" w:rsidP="00570E8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Assessment updates</w:t>
            </w:r>
          </w:p>
          <w:p w:rsidR="00C0071B" w:rsidRDefault="00C0071B" w:rsidP="00570E8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0071B" w:rsidRDefault="00C0071B" w:rsidP="00570E8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0071B" w:rsidRDefault="00C0071B" w:rsidP="00570E8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0071B" w:rsidRDefault="00C0071B" w:rsidP="00570E8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0071B" w:rsidRDefault="00C0071B" w:rsidP="00570E8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0071B" w:rsidRDefault="00C0071B" w:rsidP="00570E8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0071B" w:rsidRDefault="00C0071B" w:rsidP="00570E8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0071B" w:rsidRDefault="00C0071B" w:rsidP="00570E8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D0A68" w:rsidRDefault="00DD0A68" w:rsidP="00570E8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D0A68" w:rsidRDefault="00DD0A68" w:rsidP="00570E8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D0A68" w:rsidRDefault="00DD0A68" w:rsidP="00570E8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D0A68" w:rsidRPr="005A5FEF" w:rsidRDefault="00DD0A68" w:rsidP="00570E8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Other updates</w:t>
            </w: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DEDED" w:themeFill="accent3" w:themeFillTint="33"/>
          </w:tcPr>
          <w:p w:rsidR="001D7EB6" w:rsidRDefault="001D7EB6" w:rsidP="001D7EB6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</w:t>
            </w:r>
            <w:r w:rsidR="008733B4">
              <w:rPr>
                <w:rFonts w:asciiTheme="minorHAnsi" w:hAnsiTheme="minorHAnsi"/>
                <w:sz w:val="22"/>
                <w:szCs w:val="22"/>
              </w:rPr>
              <w:t xml:space="preserve">teve’s group is hard at work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sampling</w:t>
            </w:r>
            <w:r w:rsidR="00DD0A68">
              <w:rPr>
                <w:rFonts w:asciiTheme="minorHAnsi" w:hAnsiTheme="minorHAnsi"/>
                <w:sz w:val="22"/>
                <w:szCs w:val="22"/>
              </w:rPr>
              <w:t xml:space="preserve"> and samples </w:t>
            </w:r>
            <w:proofErr w:type="gramStart"/>
            <w:r w:rsidR="00DD0A68">
              <w:rPr>
                <w:rFonts w:asciiTheme="minorHAnsi" w:hAnsiTheme="minorHAnsi"/>
                <w:sz w:val="22"/>
                <w:szCs w:val="22"/>
              </w:rPr>
              <w:t>have been uploaded</w:t>
            </w:r>
            <w:proofErr w:type="gramEnd"/>
            <w:r w:rsidR="00DD0A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to TEAMS.</w:t>
            </w:r>
            <w:r w:rsidR="00B03820">
              <w:rPr>
                <w:rFonts w:asciiTheme="minorHAnsi" w:hAnsiTheme="minorHAnsi"/>
                <w:sz w:val="22"/>
                <w:szCs w:val="22"/>
              </w:rPr>
              <w:t xml:space="preserve">  If there is some oversampling that is good so that a minimum number of courses is satisfied.</w:t>
            </w:r>
          </w:p>
          <w:p w:rsidR="00B03820" w:rsidRDefault="00B03820" w:rsidP="001D7EB6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Emails have gone out to sampled faculty and there has been some random pushback.</w:t>
            </w:r>
          </w:p>
          <w:p w:rsidR="00B03820" w:rsidRDefault="00B03820" w:rsidP="001D7EB6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Faculty stakeholders are settled and reminder emails to stakeholder committees will go out to faculty.  The deadline for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submission of materials is November 29 so</w:t>
            </w:r>
            <w:r w:rsidR="00DD0A68">
              <w:rPr>
                <w:rFonts w:asciiTheme="minorHAnsi" w:hAnsiTheme="minorHAnsi"/>
                <w:sz w:val="22"/>
                <w:szCs w:val="22"/>
              </w:rPr>
              <w:t xml:space="preserve"> that necessary feedback </w:t>
            </w:r>
            <w:proofErr w:type="gramStart"/>
            <w:r w:rsidR="00DD0A68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/>
                <w:sz w:val="22"/>
                <w:szCs w:val="22"/>
              </w:rPr>
              <w:t>received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before spring. </w:t>
            </w:r>
          </w:p>
          <w:p w:rsidR="00DD0A68" w:rsidRDefault="00C0071B" w:rsidP="00DD0A68">
            <w:pPr>
              <w:spacing w:after="16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0382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D0A68" w:rsidRPr="00B03820" w:rsidRDefault="00DD0A68" w:rsidP="00DD0A68">
            <w:pPr>
              <w:spacing w:after="160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SUNY General Education framework present in October is on its way to finalization.  There was a discussion of productive ways to gather feedback for local implementation.  Should the General Education Committee offer a plan or a structure for consideration of implementation or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should other options be presented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for feedback?  The last time there was a General Education review a number of ways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were presented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for obtaining feedback. 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Ultimately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the General Education Committee must write up responses and present them to the Faculty Senate.  </w:t>
            </w: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DEDED" w:themeFill="accent3" w:themeFillTint="33"/>
          </w:tcPr>
          <w:p w:rsidR="00C0071B" w:rsidRPr="005A5FEF" w:rsidRDefault="00C0071B" w:rsidP="00570E8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0071B" w:rsidRPr="00506C33" w:rsidTr="00570E8B">
        <w:trPr>
          <w:trHeight w:val="430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DEDED" w:themeFill="accent3" w:themeFillTint="33"/>
          </w:tcPr>
          <w:p w:rsidR="00C0071B" w:rsidRPr="005A5FEF" w:rsidRDefault="00C0071B" w:rsidP="00570E8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DEDED" w:themeFill="accent3" w:themeFillTint="33"/>
          </w:tcPr>
          <w:p w:rsidR="00C0071B" w:rsidRPr="005A5FEF" w:rsidRDefault="00C0071B" w:rsidP="00570E8B">
            <w:pPr>
              <w:pStyle w:val="ListParagraph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DEDED" w:themeFill="accent3" w:themeFillTint="33"/>
          </w:tcPr>
          <w:p w:rsidR="00C0071B" w:rsidRPr="005A5FEF" w:rsidRDefault="005A3459" w:rsidP="00570E8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Meeting adjourned at 8:57 am</w:t>
            </w:r>
          </w:p>
        </w:tc>
      </w:tr>
    </w:tbl>
    <w:p w:rsidR="00C0071B" w:rsidRDefault="00C0071B" w:rsidP="00C007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Submitted by Greg Ketcham</w:t>
      </w:r>
    </w:p>
    <w:p w:rsidR="006E62AE" w:rsidRDefault="006E62AE"/>
    <w:sectPr w:rsidR="006E62AE" w:rsidSect="00DF38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E5B"/>
    <w:multiLevelType w:val="hybridMultilevel"/>
    <w:tmpl w:val="E79C0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A0641"/>
    <w:multiLevelType w:val="hybridMultilevel"/>
    <w:tmpl w:val="69B4A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32FB9"/>
    <w:multiLevelType w:val="hybridMultilevel"/>
    <w:tmpl w:val="7CBC9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B542C"/>
    <w:multiLevelType w:val="hybridMultilevel"/>
    <w:tmpl w:val="18A4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1B"/>
    <w:rsid w:val="001D7EB6"/>
    <w:rsid w:val="00356F1C"/>
    <w:rsid w:val="003C629A"/>
    <w:rsid w:val="004C0F00"/>
    <w:rsid w:val="005A3459"/>
    <w:rsid w:val="00614F05"/>
    <w:rsid w:val="006E62AE"/>
    <w:rsid w:val="007517E6"/>
    <w:rsid w:val="00822649"/>
    <w:rsid w:val="0084095F"/>
    <w:rsid w:val="008733B4"/>
    <w:rsid w:val="009A18F6"/>
    <w:rsid w:val="00B03820"/>
    <w:rsid w:val="00C0071B"/>
    <w:rsid w:val="00CA4759"/>
    <w:rsid w:val="00D45AE6"/>
    <w:rsid w:val="00D57B6D"/>
    <w:rsid w:val="00DA52B7"/>
    <w:rsid w:val="00DD0A68"/>
    <w:rsid w:val="00E55F0C"/>
    <w:rsid w:val="00E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67AF"/>
  <w15:chartTrackingRefBased/>
  <w15:docId w15:val="{219BDA05-BA8D-43B2-9860-48F3006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1B"/>
    <w:pPr>
      <w:spacing w:after="0" w:line="240" w:lineRule="auto"/>
    </w:pPr>
    <w:rPr>
      <w:rFonts w:ascii="Cambria" w:eastAsia="Batang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0C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6FB68DBA5DD4284D62E86C1A30844" ma:contentTypeVersion="4" ma:contentTypeDescription="Create a new document." ma:contentTypeScope="" ma:versionID="51eb2a57d0b509e0566f14e5795e4db9">
  <xsd:schema xmlns:xsd="http://www.w3.org/2001/XMLSchema" xmlns:xs="http://www.w3.org/2001/XMLSchema" xmlns:p="http://schemas.microsoft.com/office/2006/metadata/properties" xmlns:ns2="bf99938b-355b-45df-af0e-32840db78664" targetNamespace="http://schemas.microsoft.com/office/2006/metadata/properties" ma:root="true" ma:fieldsID="3164e4cce015d84dd3f8dc1ce950f610" ns2:_="">
    <xsd:import namespace="bf99938b-355b-45df-af0e-32840db78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938b-355b-45df-af0e-32840db78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C4030-6641-4AB5-B82E-936DBD2856A8}"/>
</file>

<file path=customXml/itemProps2.xml><?xml version="1.0" encoding="utf-8"?>
<ds:datastoreItem xmlns:ds="http://schemas.openxmlformats.org/officeDocument/2006/customXml" ds:itemID="{EA733342-863B-41AF-A637-22EFF98811B9}"/>
</file>

<file path=customXml/itemProps3.xml><?xml version="1.0" encoding="utf-8"?>
<ds:datastoreItem xmlns:ds="http://schemas.openxmlformats.org/officeDocument/2006/customXml" ds:itemID="{D2C9EBBD-C976-492A-9252-C057DA41B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Ketcham</dc:creator>
  <cp:keywords/>
  <dc:description/>
  <cp:lastModifiedBy>Gregory Ketcham</cp:lastModifiedBy>
  <cp:revision>3</cp:revision>
  <cp:lastPrinted>2021-11-18T16:48:00Z</cp:lastPrinted>
  <dcterms:created xsi:type="dcterms:W3CDTF">2021-11-18T17:12:00Z</dcterms:created>
  <dcterms:modified xsi:type="dcterms:W3CDTF">2021-11-18T17:12:00Z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0x0101008C56FB68DBA5DD4284D62E86C1A30844</vt:lpwstr>
  </property>
</Properties>
</file>